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249</w:t>
      </w:r>
    </w:p>
    <w:p>
      <w:r>
        <w:t>Bundesgericht (BGE), 2010-04-27, DE</w:t>
      </w:r>
    </w:p>
    <w:p>
      <w:r>
        <w:rPr>
          <w:b/>
        </w:rPr>
        <w:t xml:space="preserve">Quelle: </w:t>
      </w:r>
      <w:r>
        <w:t>https://mcp.opencaselaw.ch/entscheid/bge_137 IV 249</w:t>
      </w:r>
    </w:p>
    <w:p>
      <w:r>
        <w:t>FR: ATF 137 IV 249</w:t>
      </w:r>
    </w:p>
    <w:p>
      <w:r>
        <w:t>IT: DTF 137 IV 249</w:t>
      </w:r>
    </w:p>
    <w:p>
      <w:pPr>
        <w:pStyle w:val="Heading2"/>
      </w:pPr>
      <w:r>
        <w:t>Regeste</w:t>
      </w:r>
    </w:p>
    <w:p>
      <w:r>
        <w:t>Regeste a Widerruf der bedingten Strafe; Änderung der Vorstrafe zur Bildung einer Gesamtstrafe in Anwendung von Art. 49 StGB (Art. 46 Abs. 1 Satz 2 StGB). Es widerspricht der ratio legis der Bestimmung von Art. 46 Abs. 1 StGB, eine (rechtskräftige) Vorstrafe zulasten des Verurteilten zu ändern. Das Verfahren ist nicht anwendbar, um eine Vorstrafe in eine schwerere Sanktion umzuwandeln (E. 3.4.3).</w:t>
      </w:r>
    </w:p>
    <w:p>
      <w:r>
        <w:t>Regeste b Sicherungseinziehung (Art. 69 Abs. 1 StGB); Zwecktauglichkeit der Einziehung von Gegenständen, die jederzeit ohne nennenswerte Schwierigkeiten wieder beschaffbar sind. Die Frage, ob die Einziehung von Gegenständen, die jederzeit ohne nennenswerte Schwierigkeiten wieder beschaffbar sind, zwecktauglich ist, beurteilt sich nach den Umständen des Einzelfalles. Die Einziehung des Fahrzeugs eines chronischen Verkehrsdelinquenten ist zumindest geeignet, weitere Widerhandlungen gegen das SVG zu verzögern oder zu erschweren (E. 4.5.2).</w:t>
      </w:r>
    </w:p>
    <w:p>
      <w:pPr>
        <w:pStyle w:val="Heading2"/>
      </w:pPr>
      <w:r>
        <w:t>Erwägungen</w:t>
      </w:r>
    </w:p>
    <w:p>
      <w:r>
        <w:rPr>
          <w:b/>
        </w:rPr>
        <w:t>E. 3</w:t>
      </w:r>
    </w:p>
    <w:p>
      <w:r>
        <w:t>Die Rügen des Beschwerdeführers richten sich gegen die unbedingt zu vollziehende Freiheitsstrafe von 9 Monaten und die zu widerrufende Geldstrafe von 50 Tagessätzen, welche zusammen die Gesamtfreiheitsstrafe von 10 Monaten bilden. Vorliegend ist von Amtes wegen zu prüfen, ob die Bildung der Gesamtfreiheitsstrafe bundesrechtskonform ist ( Art. 106 Abs. 1 BGG ; BGE 134 V 250 E. 1.2 S. 252 mit Hinweisen).</w:t>
      </w:r>
    </w:p>
    <w:p>
      <w:r>
        <w:rPr>
          <w:b/>
        </w:rPr>
        <w:t>E. 3.1</w:t>
      </w:r>
    </w:p>
    <w:p>
      <w:r>
        <w:t>Nach der Konzeption des neuen Allgemeinen Teils des Strafgesetzbuches stellt die Geldstrafe die Hauptsanktion dar. Freiheitsstrafen sollen nur verhängt werden, wenn der Staat keine anderen Mittel hat, die öffentliche Sicherheit zu gewährleisten, und die gemeinnützige Arbeit bedarf der Zustimmung des Täters. Aus dem Verhältnismässigkeitsprinzip folgt, dass bei alternativ zur Verfügung stehenden Sanktionen im Regelfall diejenige gewählt werden soll, die weniger stark in die persönliche Freiheit des Betroffenen eingreift bzw. die ihn am wenigsten hart trifft ( BGE 134 IV 97 E. 4.2.2 S. 101 mit Hinweisen). Die Geldstrafe als Vermögenssanktion wiegt prinzipiell weniger schwer als ein Eingriff in die persönliche Freiheit. Sie ist unabhängig von der Dauer der Freiheitsstrafe bzw. der Höhe des Geldstrafenbetrages gegenüber der Freiheitsstrafe milder ( BGE 134 IV 82 E. 7.2.2 S. 90 mit Hinweisen).</w:t>
      </w:r>
    </w:p>
    <w:p>
      <w:r>
        <w:rPr>
          <w:b/>
        </w:rPr>
        <w:t>E. 3.2</w:t>
      </w:r>
    </w:p>
    <w:p>
      <w:r>
        <w:t>Die Vorinstanz ändert die zu widerrufende Geldstrafe zur Bildung der Gesamtstrafe in eine Freiheitsstrafe und somit in eine schwerere Sanktion um. Ob dies bundesrechtskonform ist, hängt von der Interpretation von Art. 46 Abs. 1 Satz 2 StGB ab.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BGE 137 IV 249 S. 252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137 V 369 E. 4.4.3.2 S. 371; BGE 137 V 13 E. 5.1 S. 17; je mit Hinweisen).</w:t>
      </w:r>
    </w:p>
    <w:p>
      <w:r>
        <w:rPr>
          <w:b/>
        </w:rPr>
        <w:t>E. 3.3</w:t>
      </w:r>
    </w:p>
    <w:p>
      <w:r>
        <w:t>Das Bundesgericht setzte sich in BGE 134 IV 241 mit der Entstehungsgeschichte der Bestimmung von Art. 46 Abs. 1 Satz 2 StGB auseinander. Es legte dar, dass im Anschluss an die Verhandlungen der eidgenössischen Räte das Institut des "Aussetzens der Strafe" fallen gelassen wurde und Art. 46 Abs. 1 Satz 2 StGB des bundesrätlichen Entwurfs folgerichtig ersatzlos hätte gestrichen werden müssen (E. 4.1). Das Bundesgericht erwog im weiteren, soweit Art. 46 Abs. 1 Satz 2 in Verbindung mit Art. 49 StGB zum Ausdruck bringen sollte, dass das Gericht für die Gegenstand der früheren Verurteilung bildenden Straftaten einerseits und die während der Probezeit begangenen neuen Straftaten andererseits eine Gesamtstrafe nach dem Asperationsprinzip bilden könne, wie wenn es alle Straftaten gleichzeitig zu beurteilen hätte, erscheine dies als wenig sachgerecht. Der Fall, dass ein Täter nach einer rechtskräftigen Verurteilung zu einer bedingten Freiheitsstrafe während der Probezeit weitere Delikte verübe, unterscheide sich wesentlich vom Fall eines Täters, der sämtliche Taten begangen habe, bevor er wegen dieser Taten (siehe Art. 49 Abs. 1 StGB ) bzw. zumindest wegen eines Teils dieser Taten (vgl. Art. 49 Abs. 2 StGB betreffend die retrospektive Konkurrenz) verurteilt worden sei. Eine Gleichstellung dieser Fälle bei der Strafzumessung erscheine als sachfremd, weil damit der straferhöhend zu wertende Umstand, dass der Täter einen Teil der Taten während der Probezeit nach einer rechtskräftigen Verurteilung zu einer bedingten Strafe begangen habe, bei der Strafzumessung zu Unrecht unberücksichtigt bliebe (E. 4.3). Das Bundesgericht kam zum Schluss, das Verfahren nach Art. 46 Abs. 1 Satz 2 StGB sei nach dem klaren Wortlaut der Bestimmung ("... kann ...") fakultativ. Es finde einzig Anwendung, wenn die bedingte Vorstrafe und die neue Strafe nicht gleichartig seien und daher das Gericht die Art der Vorstrafe ändere (E. 4.4).</w:t>
      </w:r>
    </w:p>
    <w:p>
      <w:r>
        <w:rPr>
          <w:b/>
        </w:rPr>
        <w:t>E. 3.4</w:t>
      </w:r>
    </w:p>
    <w:p>
      <w:r>
        <w:t>Das Bundesgericht musste in BGE 134 IV 241 nicht auf die Problematik der Änderung der Vorstrafe zulasten des Verurteilten eingehen. Art. 46 Abs. 1 Satz 2 StGB ist vorliegend insbesondere unter diesem Blickwinkel zu prüfen. BGE 137 IV 249 S. 253</w:t>
      </w:r>
    </w:p>
    <w:p>
      <w:r>
        <w:rPr>
          <w:b/>
        </w:rPr>
        <w:t>E. 3.4.1</w:t>
      </w:r>
    </w:p>
    <w:p>
      <w:r>
        <w:t>In der Lehre wird eine Umwandlung der Vorstrafe zulasten des Verurteilten als rechtsstaatlich höchst bedenklich kritisiert. Zudem sei problematisch, für eine rechtskräftig beurteilte Tat (res iudicata) eine neue Strafe zu verhängen. Die überwiegende Lehre spricht sich dafür aus, die Änderungsformel nicht oder nur als ultima ratio anzuwenden (STRATENWERTH/WOHLERS, Schweizerisches Strafgesetzbuch, Handkommentar, 2. Aufl. 2009, N. 3 zu Art. 46 StGB ; TRECHSEL/STÖCKLI, Schweizerisches Strafgesetzbuch, Praxiskommentar, 2008, N. 6 zu Art. 46 StGB ; SCHNEIDER/GARRÉ, in: Basler Kommentar, Strafrecht, Bd. I, 2. Aufl. 2007, N. 30 zu Art. 79 StGB ; JÜRG-BEAT ACKERMANN, in: Basler Kommentar, Strafrecht, Bd. I, 2007, N. 35 zu Art. 49 StGB ; SCHWARZENEGGER/HUG/JOSITSCH, Strafrecht, Bd. II, 8. Aufl. 2007, S. 145 f.; GÜNTER STRATENWERTH, Schweizerisches Strafrecht, Allgemeiner Teil, Bd. II, Strafen und Massnahmen, 2. Aufl. 2006, § 5 N. 96; ANNETTE DOLGE, Geldstrafen als Ersatz für kurze Freiheitsstrafe - Top oder Flop, ZStrR 128/2010 S. 77; ROY GARRÉ, Die bedingten Strafen nach dem revidierten Allgemeinen Teil des Strafgesetzbuchs, Anwaltsrevue 2005 S. 302; a.M.: GEORGES GREINER, Bedingte und teilbedingte Strafen, Strafzumessung, in: Zur Revision des Allgemeinen Teils des Schweizerischen Strafrechts und zum neuen materiellen Jugendstrafrecht, Bänziger/Hubschmid/Sollberger [Hrsg.], 2. Aufl. 2006, S. 127 ).</w:t>
      </w:r>
    </w:p>
    <w:p>
      <w:r>
        <w:rPr>
          <w:b/>
        </w:rPr>
        <w:t>E. 3.4.2</w:t>
      </w:r>
    </w:p>
    <w:p>
      <w:r>
        <w:t>In systematischer Hinsicht nennt die Bestimmung von Art. 46 Abs. 1 Satz 2 StGB zur Bildung der Gesamtstrafe die "sinngemässe Anwendung von Art. 49 StGB ": Hat der Täter durch eine oder mehrere Handlungen die Voraussetzungen für mehrere gleichartige Strafen erfüllt, so verurteilt ihn das Gericht zu der Strafe der schwersten Straftat und erhöht sie angemessen ( Art. 49 Abs. 1 Satz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Nach der bundesgerichtlichen Rechtsprechung greift das sogenannte Asperationsprinzip nur, wenn mehrere gleichartige Strafen ausgesprochen werden. Ungleichartige Strafen sind kumulativ zu verhängen. Das Gericht kann somit nur eine Gesamtfreiheitsstrafe ausfällen, wenn es im konkreten Fall für jede einzelne Tat eine Freiheitsstrafe ausfällen würde. Diese Voraussetzungen gelten auch für die Bildung BGE 137 IV 249 S. 254 der Zusatzstrafe bei der retrospektiven Konkurrenz. Der Zweitrichter ist in Bezug auf die Strafart an den rechtskräftigen ersten Entscheid gebunden (vgl. BGE 137 IV 57 E. 4.3.1 S. 58 mit Hinweisen; JÜRG-BEAT ACKERMANN, in: Basler Kommentar, a.a.O., N. 36 zu Art. 49 StGB ). Die Bildung der Gesamtstrafe gemäss Art. 49 StGB unterliegt somit dem Verhältnismässigkeitsprinzip ( BGE 134 IV 97 E. 4.2.2, s. E. 3.1 hiervor). Im Falle der retrospektiven Konkurrenz ist der Zweitrichter nicht befugt, die Strafart des rechtskräftigen ersten Entscheides zu ändern. Bei analoger Anwendung dieser Grundsätze im Verfahren nach Art. 46 Abs. 1 Satz 2 StGB ist die Änderung der Vorstrafe - insbesondere zulasten des Beschuldigten - ausgeschlossen.</w:t>
      </w:r>
    </w:p>
    <w:p>
      <w:r>
        <w:rPr>
          <w:b/>
        </w:rPr>
        <w:t>E. 3.4.3</w:t>
      </w:r>
    </w:p>
    <w:p>
      <w:r>
        <w:t>Wie bereits in BGE 134 IV 241 dargelegt, entspricht Art. 46 Abs. 1 Satz 2 StGB nicht dem historischen Willen des Gesetzgebers (s. E. 3.3 hiervor). Die teleologische Auslegung führt zum gleichen Ergebnis. Insgesamt widerspricht es der ratio legis der Bestimmung, eine (rechtskräftige) Vorstrafe zulasten des Verurteilten zu ändern. Das Verfahren nach Art. 46 Abs. 1 Satz 2 StGB ist somit nicht anwendbar, um eine Vorstrafe in eine schwerere Sanktion umzuwandeln. Nach dem Gesagten verletzt die Vorinstanz Bundesrecht, indem sie die frühere Geldstrafe in eine Freiheitsstrafe ändert, um den Beschwerdeführer zu einer Gesamtfreiheitsstrafe zu verurteilen.</w:t>
      </w:r>
    </w:p>
    <w:p>
      <w:r>
        <w:rPr>
          <w:b/>
        </w:rPr>
        <w:t>E. 4</w:t>
      </w:r>
    </w:p>
    <w:p>
      <w:r>
        <w:t>Der Beschwerdeführer rügt weiter die Verletzung von Bundesrecht durch die Einziehung seiner beiden Traktoren.</w:t>
      </w:r>
    </w:p>
    <w:p>
      <w:r>
        <w:rPr>
          <w:b/>
        </w:rPr>
        <w:t>E. 4.1</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 Art. 69 Abs. 1 StGB ).</w:t>
      </w:r>
    </w:p>
    <w:p>
      <w:r>
        <w:rPr>
          <w:b/>
        </w:rPr>
        <w:t>E. 4.2</w:t>
      </w:r>
    </w:p>
    <w:p>
      <w:r>
        <w:t>Die Vorinstanz erwägt, dem Beschwerdeführer sei der Führerausweis mit Wirkung ab 1. November 2008 auf unbestimmte Zeit entzogen worden. Dennoch sei er mit den Traktoren Case-Int. National 885 AXL und Valmet 8350-4Hitech mehrmals unterwegs gewesen. Bei der Fahrt vom 10. Januar 2009 habe er eine qualifizierte Blutalkoholkonzentration aufgewiesen, seine Geschwindigkeit nicht den Strassenverhältnissen angepasst und einen Selbstunfall mit beträchtlichem Sachschaden verursacht. Auch am 13. Juni 2009 habe er die Traktoren in alkoholisiertem Zustand gefahren. Werde BGE 137 IV 249 S. 255 von der Einziehung abgesehen, sei wahrscheinlich, dass er in naher Zukunft erneut unter Verwendung des einen oder anderen Traktors den Tatbestand von Art. 91 Abs. 1 SVG bzw. Art. 95 Ziff. 2 SVG erfülle und damit die Sicherheit von Menschen gefährde. Der Beschwerdeführer sei in keiner Weise einsichtig oder reuig. Es sei nicht auszuschliessen, dass er sich wieder einen neuen Traktor beschaffe. Da für ihn die Hürde, ein sofort verfügbares Fahrzeug trotz Entzugs des Führerausweises zu benutzen, aber deutlich tiefer liege, als wenn er zuerst ein neues Fahrzeug kaufen und einlösen müsse, sei die Einziehung dennoch zur Erreichung ihres Zweckes geeignet. Es sei keine mildere Massnahme ersichtlich, um den Beschwerdeführer von einem neuerlichen Verstoss gegen das SVG abzuhalten. Insbesondere sei ihm der Führerausweis bereits auf unbestimmte Zeit entzogen worden. Schliesslich überwiege das öffentliche Interesse der Sicherheit den finanziellen Verlust, welchen er bei der gerichtlichen Verwertung der Traktoren erleide.</w:t>
      </w:r>
    </w:p>
    <w:p>
      <w:r>
        <w:rPr>
          <w:b/>
        </w:rPr>
        <w:t>E. 4.3</w:t>
      </w:r>
    </w:p>
    <w:p>
      <w:r>
        <w:t>Der Beschwerdeführer wendet ein, die Vorinstanz stütze ihre Prognose der Gefährdung in einseitiger Weise auf seine angeblich fehlende Reue und Einsicht. Diese beurteile sie aufgrund seines Verhaltens während des gerichtlichen Verfahrens und vernachlässige seine Bemühungen, welche er seither unternommen habe (Verzicht auf die AHV-Rente zur Wiedergutmachung eines Schadens, Kauf eines Generalabonnements der SBB, Benutzung der Traktoren ausschliesslich auf den Feldern). Da er seit beinahe eineinhalb Jahren mit den Traktoren nicht mehr auf öffentlichen Strassen fahre, sei davon auszugehen, dass er sich auch in Zukunft wohlverhalten werde. Weiter verletze die Einziehung das Prinzip der Verhältnismässigkeit. Er könnte sich einen Traktor kaufen oder sich umgehend einen solchen von einem befreundeten Bauern aus der Umgebung leihen. Deshalb sei die Einziehung ungeeignet, den Sicherungszweck zu erreichen. Zudem erlitte er bei einer gerichtlichen Verwertung der Traktoren einen hohen Verlust, weil dabei wesentlich tiefere Preise erzielt würden als bei Freihandverkäufen.</w:t>
      </w:r>
    </w:p>
    <w:p>
      <w:r>
        <w:rPr>
          <w:b/>
        </w:rPr>
        <w:t>E. 4.4</w:t>
      </w:r>
    </w:p>
    <w:p>
      <w:r>
        <w:t>Die Sicherungseinziehung ist eine sachliche Massnahme zum Schutz der Allgemeinheit vor rechtsgutgefährdender (Wieder-)Verwendung von gefährlichen Gegenständen. Das Gericht hat im Sinne einer Gefährdungsprognose zu prüfen, ob es hinreichend wahrscheinlich ist, dass der Gegenstand in der Hand des Täters in der Zukunft die Sicherheit von Menschen, die Sittlichkeit oder die öffentliche Ordnung gefährdet ( BGE 130 IV 143 E. 3.3.1 S. 149 mit Hinweisen). BGE 137 IV 249 S. 256 Die Vorinstanz begründet ihre Gefährdungsprognose entgegen dem Einwand des Beschwerdeführers nicht nur mit seiner fehlenden Reue bzw. Einsicht in das Unrecht seiner Taten. Sie verweist auf die einschlägigen Vorstrafen und Administrativmassnahmen, welche den Beschwerdeführer nicht von weiteren Widerhandlungen gegen das SVG abzuhalten vermochten. Ungeachtet des Führerausweisentzugs auf unbestimmte Zeit und des laufenden Strafverfahrens hat er wiederholt seine Traktoren auf öffentlichen Strassen benutzt ( Art. 95 Ziff. 2 SVG ). Teilweise war er in alkoholisiertem bzw. fahrunfähigem Zustand unterwegs ( Art. 91 Abs. 1 SVG ) und gefährdete dadurch das Leben und die Sicherheit anderer Verkehrsteilnehmer. Dieses Verhalten des Beschwerdeführers zeugt von einer derartigen Unbelehrbarkeit bzw. Uneinsichtigkeit, dass die Vorinstanz trotz seines Wohlverhaltens seit August 2009 und der Tatsache, dass er eine mehrmonatige Freiheitsstrafe zu verbüssen hat, es als wahrscheinlich erachtet, dass er seine Traktoren weiterhin unerlaubt einsetzen und damit die öffentliche Ordnung oder sogar die Sicherheit von Menschen gefährden werde. Die vorinstanzliche Gefährdungsprognose verletzt kein Bundesrecht.</w:t>
      </w:r>
    </w:p>
    <w:p>
      <w:r>
        <w:rPr>
          <w:b/>
        </w:rPr>
        <w:t>E. 4.5</w:t>
      </w:r>
    </w:p>
    <w:p>
      <w:r>
        <w:t>Die Sicherungseinziehung stellt einen Eingriff in die Eigentumsgarantie nach Art. 26 BV dar und untersteht deshalb dem Grundsatz der Verhältnismässigkeit ( Art. 36 BV ). Dieser verlangt, dass die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 BGE 135 I 209 E. 3.3.1 S. 215 mit Hinweisen).</w:t>
      </w:r>
    </w:p>
    <w:p>
      <w:r>
        <w:rPr>
          <w:b/>
        </w:rPr>
        <w:t>E. 4.5.1</w:t>
      </w:r>
    </w:p>
    <w:p>
      <w:r>
        <w:t>Die Vorinstanz begründet, weshalb es kein milderes Mittel als die Einziehung der Traktoren gibt, um den Beschwerdeführer von weiteren Widerhandlungen gegen das SVG abzuhalten. Wie sie mit Recht ausführt, besteht bei Herausgabe des Erlöses der gerichtlichen Verwertung kein Missverhältnis zwischen dem Sicherungszweck und dem Eingriff in das Eigentumsrecht des Beschwerdeführers.</w:t>
      </w:r>
    </w:p>
    <w:p>
      <w:r>
        <w:rPr>
          <w:b/>
        </w:rPr>
        <w:t>E. 4.5.2</w:t>
      </w:r>
    </w:p>
    <w:p>
      <w:r>
        <w:t>Zu prüfen ist, ob die Einziehung zur Erreichung des Sicherheitszwecks geeignet ist, obschon sich der Beschwerdeführer mit dem Verwertungserlös einen neuen Traktor beschaffen könnte. Das Bundesgericht hat die Frage, ob die Einziehung von Gegenständen, die jederzeit ohne nennenswerte Schwierigkeiten wieder BGE 137 IV 249 S. 257 beschaffbar sind, zwecktauglich ist, bisher noch nicht abschliessend beantwortet ( BGE 117 IV 345 E. 2c S. 349; BGE 81 IV 217 E. 3 S. 220; Urteile 6S.527/1991 vom 25. November 1991 E. 4b; 6S.451/1991 vom 18. Mai 1992 E. 5c; 6S.308/1995 vom 19. Juni 1995 E. 2b; 6S.410/1995 vom 29. August 1995 E. 1d; je mit Hinweisen). In der Literatur wird mehrheitlich die Auffassung vertreten, die Eignung sei diesfalls nicht grundsätzlich auszuschliessen, sondern nach den Umständen des Einzelfalles, wie etwa dem Wert des Gegenstandes, zu beurteilen (so etwa TRECHSEL/JEAN-RICHARD, in: Schweizerisches Strafgesetzbuch, Praxiskommentar, 2008, N. 3 zu Art. 69 StGB ; NIKLAUS SCHMID, Kommentar Einziehung, Organisiertes Verbrechen, Geldwäscherei, Bd. I, 2. Aufl. 2007, N. 68 zu Art. 69 StGB ; ALBIN ESER, Die strafrechtlichen Sanktionen gegen das Eigentum, Tübingen 1969, S. 276 f.). Im vorliegenden Fall handelt es sich bei den einzuziehenden Gegenständen um Fahrzeuge, mittels welchen der Beschwerdeführer Widerhandlungen gegen das SVG beging. Dieser fuhr trotz Führerausweisentzugs auf unbestimmte Zeit weiterhin mit seinen Traktoren auf öffentlichen Strassen, teilweise in alkoholisiertem Zustand. Das Bundesgericht hielt in einem Entscheid mit vergleichbarem Sachverhalt fest, das Verhältnismässigkeitsprinzip widerspreche nicht in jedem Fall der Einziehung eines Fahrzeuges (Urteil 6S.308/1995 vom 19. Juni 1995 E. 2b). Die Lehre nimmt zur Frage, ob das Fahrzeug eines chronischen Verkehrsdelinquenten eingezogen werden könne, eine eher kritische Haltung ein. Sie schliesst dies jedoch nicht konsequent aus bzw. erachtet die Notwendigkeit der Wiederbeschaffung eines neuen Fahrzeugs trotz Führerausweisentzugs als Hürde, welche die Einziehung rechtfertigen könne (siehe dazu FLORIAN BAUMANN, in: Basler Kommentar, Strafrecht, Bd. I, 2. Aufl. 2007, N. 14b zu Art. 69 StGB ; MADELEINE HIRSIG-VOUILLOZ, in: Commentaire romand, Code pénal, Bd. I, 2009, N. 24 zu Art. 69 StGB ; SCHWARZENEGGER/HUG/JOSITSCH, Strafrecht, Bd. II, 8. Aufl. 2007, S. 203; MARTIN SCHUBARTH, Konfiskation des Autos - angemessene Sanktion gegen "Raser"-, in: AJP 5/2005 S. 532). Bei den Traktoren des Beschwerdeführers handelt es sich um wertvolle Gegenstände. Auch wenn sie leicht ersetzbar sind, wäre eine Wiederbeschaffung mit erheblichen Kosten verbunden. Die Einziehung ist zumindest geeignet, weitere Widerhandlungen des Beschwerdeführers gegen das SVG zu verzögern oder zu erschweren (vgl. Urteil 6S.410/1995 vom 29. August 1995 E. 1d mit Hinweis; ESER, a.a.O.). BGE 137 IV 249 S. 258 In Gesamtwürdigung der konkreten Umstände ist es bundesrechtlich nicht zu beanstanden, dass die Vorinstanz die Einziehung der Traktoren zur Erreichung des Sicherungszwecks als geeignet erachtet. Der Eingriff in das Eigentumsrecht des Beschwerdeführers erweist sich als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